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c2b9cd5733f83881f15b616df9c7c88b4dc389"/>
    <w:p>
      <w:pPr>
        <w:pStyle w:val="Heading3"/>
      </w:pPr>
      <w:r>
        <w:t xml:space="preserve">Сергей Собянин: В столице завершена реализация 220 масштабных инвестпроектов</w:t>
      </w:r>
    </w:p>
    <w:p>
      <w:pPr>
        <w:pStyle w:val="FirstParagraph"/>
      </w:pPr>
      <w:r>
        <w:t xml:space="preserve">03.05.2025</w:t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фотки%20сао/01glMishin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03.05.2025.</w:t>
      </w:r>
    </w:p>
    <w:p>
      <w:pPr>
        <w:pStyle w:val="BodyText"/>
      </w:pPr>
      <w:r>
        <w:t xml:space="preserve">Для инвесторов увеличили коэффициент для расчета льготы в рамках программы стимулирования создания мест приложения труда.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Столичный градоначальник в своем официальном Telegram-канале сообщил, что в Москве продолжат помогать инвесторам, которые в рамках масштабных инвестиционных проектов (МаИП) строят транспортные узлы, гостиницы, спортивные, медицинские и другие объекты.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«С 2016 года в рамках масштабных инвестиционных проектов инвесторам передано больше 1,1 тыс. га земли. На этих территориях появляются современные производства, технопарки, школы, спорткомплексы и медучреждения. Всего построят 13 млн кв. м недвижимости. Только на промышленных объектах появится около 60 тыс. новых рабочих мест. Инвесторы создают проекты в сфере промышленности, медицины, спорта, транспорта, образования и гостиничного бизнеса. Участки передаются в аренду с 2016 года, а для производственных площадок с 2022-го действует льготная ставка – 1 руб. за участок в год», – написал Сергей Собянин.</w:t>
      </w:r>
    </w:p>
    <w:p>
      <w:pPr>
        <w:pStyle w:val="BodyText"/>
      </w:pPr>
      <w:r>
        <w:t xml:space="preserve">Глава города также отметил, что в настоящее время реализуются 334 проекта в рамках МаИП, 220 – завершены. Среди них производственный комплекс по изготовлению автокомпонентов в Бирюлево Западном; новый цех по выпуску скоростных лифтов в Гольяново; ледовый дворец в Мневниковской пойме, а также спорткомплекс с бассейном «Раменки».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«Кроме того, расширили поддержку для тех, кто строит промышленные объекты. Увеличили коэффициент льготы в рамках программы стимулирования создания мест приложения труда – с 0,7 до 0,8. Это позволит снизить затраты и ускорить реализацию высокотехнологичных производств в столице. Москва создает понятные и выгодные условия для инвесторов. В результате город получает новые рабочие места, налоговые поступления и устойчивое развитие районов», – отметил градоначальник.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 уточняется на официальном сайте мэра, в 2025 году планируют завершить строительство 15 промышленных объектов. Там появится около 5,5 тыс. новых рабочих мест. Так, на финальном этапе строительства находится роботизированный завод по производству сверхкрупноразмерных модулей в районе Внуково.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«В 2026–2030 годах планируют ввести в эксплуатацию 9 млн кв. м недвижимости. Около трети от этого объема составят промышленные объекты, на которых создадут десятки тыс. новых рабочих мест. Среди них промышленный комплекс для размещения производства предприятия «Спецкабель» (Метрогородок, более 300 рабочих мест) и комплекс по производству лекарственных средств ФГУП «Московский эндокринный завод» (Нижегородский район, свыше 260 рабочих мест). В Мневниковской пойме в рамках МаИП сейчас строят Международную академию хоккея Александра Овечкина. Уже выделены участки для теннисного центра, тренировочного комплекса для занятий футболом, хоккеем, гимнастикой и единоборствами. В Раменках хотят возвести два многофункциональных медицинских центра – их оснастят новейшим оборудованием, а персонал будет использовать самые современные технологии. Кроме того, в саду «Эрмитаж» на месте бывшего здания Щукинской сцены появится театр мюзикла», – говорится в материале.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http://sao.mos.ru/presscenter/news/detail/12947419.html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presscenter/news/detail/129474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presscenter/news/detail/129474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2025-08-06T00:04:11Z</dcterms:created>
  <dcterms:modified xsi:type="dcterms:W3CDTF">2025-08-06T00:04:11Z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