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42ac782f8f43733e51d1790c960b72d32ad6e3"/>
    <w:p>
      <w:pPr>
        <w:pStyle w:val="Heading3"/>
      </w:pPr>
      <w:r>
        <w:t xml:space="preserve">Национальный проект "Производительность труда и поддержка занятости"</w:t>
      </w:r>
    </w:p>
    <w:p>
      <w:pPr>
        <w:pStyle w:val="FirstParagraph"/>
      </w:pPr>
      <w:r>
        <w:t xml:space="preserve">15.01.2020</w:t>
      </w:r>
    </w:p>
    <w:bookmarkEnd w:id="20"/>
    <w:bookmarkStart w:id="24" w:name="section"/>
    <w:p>
      <w:pPr>
        <w:pStyle w:val="Heading1"/>
      </w:pPr>
    </w:p>
    <w:p>
      <w:pPr>
        <w:pStyle w:val="FirstParagraph"/>
      </w:pPr>
      <w:r>
        <w:drawing>
          <wp:inline>
            <wp:extent cx="3429000" cy="1905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нацпроекты-2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X06c0d9b54bc9cb02d920a19182477642ea2c08c"/>
    <w:p>
      <w:pPr>
        <w:pStyle w:val="Heading1"/>
      </w:pPr>
      <w:r>
        <w:t xml:space="preserve">Национальный проект "Производительность труда и поддержка занятости"</w:t>
      </w:r>
    </w:p>
    <w:bookmarkEnd w:id="25"/>
    <w:p>
      <w:pPr>
        <w:pStyle w:val="FirstParagraph"/>
      </w:pPr>
      <w:r>
        <w:t xml:space="preserve">Для реализации нацпроекта «Производительность труда» создано Агентство стратегического развития Москвы.</w:t>
      </w:r>
    </w:p>
    <w:p>
      <w:pPr>
        <w:pStyle w:val="BodyText"/>
      </w:pPr>
      <w:r>
        <w:t xml:space="preserve">Оно будет заниматься реализацией направлений «Адресная поддержка повышения производительности труда на предприятиях» и «Системные меры по повышению производительности труда».</w:t>
      </w:r>
    </w:p>
    <w:p>
      <w:pPr>
        <w:pStyle w:val="BodyText"/>
      </w:pPr>
      <w:r>
        <w:t xml:space="preserve">В столице открылось Агентство стратегического развития Москвы (АНО «Мосстратегия»). Ключевым направлением его деятельности станет реализация национального проекта «Производительность труда».</w:t>
      </w:r>
    </w:p>
    <w:p>
      <w:pPr>
        <w:pStyle w:val="BlockText"/>
      </w:pPr>
      <w:r>
        <w:t xml:space="preserve">«</w:t>
      </w:r>
      <w:r>
        <w:rPr>
          <w:iCs/>
          <w:i/>
        </w:rPr>
        <w:t xml:space="preserve">Задачами новой структуры Правительства Москвы станет реализация двух направлений национального проекта “Производительность труда”: “Адресная поддержка повышения производительности труда на предприятиях” и “Системные меры по повышению производительности труда”. По результатам первых недель работы агентства участниками направления по системным мерам стали пять предприятий столицы. Теперь в Москве их семь. Компании смогут получить широкий набор поддержки — от обучения до льготного финансирования</w:t>
      </w:r>
      <w:r>
        <w:t xml:space="preserve">», — сообщил заместитель Мэра Москвы по вопросам экономической политики и имущественно-земельных отношений Владимир Ефимов.</w:t>
      </w:r>
    </w:p>
    <w:p>
      <w:pPr>
        <w:pStyle w:val="FirstParagraph"/>
      </w:pPr>
      <w:r>
        <w:t xml:space="preserve">Потенциальными участниками национального проекта являются около пяти тысяч московских предприятий — примерно половина от общего количества крупных и средних компаний города. При этом число претендентов на адресную поддержку ограничено — к 2024 году ее сможет получить 561 компания, это около 10 процентов от всех потенциальных участников.</w:t>
      </w:r>
    </w:p>
    <w:p>
      <w:pPr>
        <w:pStyle w:val="BodyText"/>
      </w:pPr>
      <w:r>
        <w:t xml:space="preserve">Руководителем агентства назначили Наталью Шувалову. Ранее она возглавляла центр поддержки и развития экспорта «Моспром».</w:t>
      </w:r>
    </w:p>
    <w:p>
      <w:pPr>
        <w:pStyle w:val="BlockText"/>
      </w:pPr>
      <w:r>
        <w:t xml:space="preserve">«</w:t>
      </w:r>
      <w:r>
        <w:rPr>
          <w:iCs/>
          <w:i/>
        </w:rPr>
        <w:t xml:space="preserve">Национальный проект “Производительность труда” в первую очередь направлен на рост производительности труда на предприятиях не менее чем на пять процентов ежегодно. Так, для достижения ключевых показателей мы поставили себе амбициозную цель — по итогам первого года оказать адресную поддержку в совершенствовании эффективности производственных процессов 109 компаниям города. На базе Агентства стратегического развития Москвы уже сформирован региональный центр компетенций, а также стартовал прием заявок на участие в проекте</w:t>
      </w:r>
      <w:r>
        <w:t xml:space="preserve">», — уточнил Министр Правительства Москвы, руководитель Департамента экономической политики и развития города Кирилл Пуртов.</w:t>
      </w:r>
    </w:p>
    <w:p>
      <w:pPr>
        <w:pStyle w:val="FirstParagraph"/>
      </w:pPr>
      <w:r>
        <w:t xml:space="preserve">Участниками нацпроекта могут стать зарегистрированные или работающие на территории Москвы предприятия с выручкой за предыдущий год не менее 400 миллионов рублей. Также они должны относиться к одной из приоритетных отраслей экономики, среди которых обрабатывающее производство, сельское хозяйство, транспорт, строительство и торговля. Доля иностранного участия в их уставном капитале не должна превышать 50 процентов.</w:t>
      </w:r>
    </w:p>
    <w:p>
      <w:pPr>
        <w:pStyle w:val="BodyText"/>
      </w:pPr>
      <w:r>
        <w:t xml:space="preserve">Подать заявку на участие в проекте можно на сайте</w:t>
      </w:r>
      <w:r>
        <w:t xml:space="preserve"> </w:t>
      </w:r>
      <w:hyperlink r:id="rId26">
        <w:r>
          <w:rPr>
            <w:rStyle w:val="Hyperlink"/>
            <w:u w:val="single"/>
            <w:bCs/>
            <w:b/>
          </w:rPr>
          <w:t xml:space="preserve">производительность.рф</w:t>
        </w:r>
      </w:hyperlink>
      <w:r>
        <w:t xml:space="preserve"> </w:t>
      </w:r>
      <w:r>
        <w:t xml:space="preserve">с обязательным указанием региона «город Москва».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Проект «Производительность труда и поддержка занятости» - 2018-2024 гг.</w:t>
      </w:r>
    </w:p>
    <w:p>
      <w:pPr>
        <w:pStyle w:val="BodyText"/>
      </w:pPr>
      <w:r>
        <w:br/>
      </w:r>
      <w:r>
        <w:rPr>
          <w:bCs/>
          <w:b/>
        </w:rPr>
        <w:t xml:space="preserve">Цели проекта</w:t>
      </w:r>
    </w:p>
    <w:p>
      <w:pPr>
        <w:pStyle w:val="BodyText"/>
      </w:pPr>
      <w:r>
        <w:t xml:space="preserve">- Распространение знаний в области повышения производительности труда</w:t>
      </w:r>
    </w:p>
    <w:p>
      <w:pPr>
        <w:pStyle w:val="BodyText"/>
      </w:pPr>
      <w:r>
        <w:t xml:space="preserve">- Стимулирование интереса к повышению производительности труда со стороны предприятий, региональных и федеральных органов власти</w:t>
      </w:r>
    </w:p>
    <w:p>
      <w:pPr>
        <w:pStyle w:val="BodyText"/>
      </w:pPr>
      <w:r>
        <w:br/>
      </w:r>
      <w:r>
        <w:rPr>
          <w:bCs/>
          <w:b/>
        </w:rPr>
        <w:t xml:space="preserve">Задачи проекта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Сокращение нормативно-правовых и административных ограничений, препятствующих росту производительности труда</w:t>
      </w:r>
    </w:p>
    <w:p>
      <w:pPr>
        <w:pStyle w:val="BodyText"/>
      </w:pPr>
      <w:r>
        <w:t xml:space="preserve">- Стимулирование внедрения передовых управленческих, организационных и технологических решений для повышения производительности труда и модернизации основных фондов, в том числе посредством предоставления налоговых преференций</w:t>
      </w:r>
    </w:p>
    <w:p>
      <w:pPr>
        <w:pStyle w:val="BodyText"/>
      </w:pPr>
      <w:r>
        <w:t xml:space="preserve">- Формирование системы подготовки кадров, направленной на обучение основам повышения производительности труда, в том числе посредством использования цифровых технологий и платформенных решений</w:t>
      </w:r>
    </w:p>
    <w:p>
      <w:pPr>
        <w:pStyle w:val="BodyText"/>
      </w:pPr>
      <w:r>
        <w:t xml:space="preserve">- Формирование системы методической и организационной поддержки повышения производительности труда на предприятиях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Ответственные за реализацию проекта «Производительность труда и поддержка занятости»</w:t>
      </w:r>
    </w:p>
    <w:p>
      <w:pPr>
        <w:pStyle w:val="BodyText"/>
      </w:pPr>
      <w:r>
        <w:br/>
      </w:r>
      <w:r>
        <w:t xml:space="preserve">- Куратор национального проекта: А.Г. Силуанов, первый заместитель председателя Правительства Российской Федерации – министр финансов Российской Федерации</w:t>
      </w:r>
      <w:r>
        <w:br/>
      </w:r>
      <w:r>
        <w:t xml:space="preserve">- Руководитель национального проекта: М.С. Орешкин, министр экономического развития Российской Федерации</w:t>
      </w:r>
      <w:r>
        <w:br/>
      </w:r>
      <w:r>
        <w:t xml:space="preserve">- Администратор национального проекта: С.С. Галкин, заместитель министра экономического развития Российской Федерации</w:t>
      </w:r>
    </w:p>
    <w:p>
      <w:pPr>
        <w:pStyle w:val="BodyText"/>
      </w:pPr>
      <w:r>
        <w:br/>
      </w:r>
    </w:p>
    <w:p>
      <w:pPr>
        <w:pStyle w:val="FirstParagraph"/>
      </w:pPr>
      <w:r>
        <w:rPr>
          <w:bCs/>
          <w:b/>
        </w:rPr>
        <w:t xml:space="preserve">Показатели национального проекта «Производительность труда и поддержка занятости»</w:t>
      </w:r>
    </w:p>
    <w:p>
      <w:pPr>
        <w:pStyle w:val="BodyText"/>
      </w:pPr>
      <w:r>
        <w:t xml:space="preserve">Рост производительности труда на средних и крупных предприятиях базовых несырьевых отраслей экономики, процент к предыдущему году:</w:t>
      </w:r>
    </w:p>
    <w:p>
      <w:pPr>
        <w:numPr>
          <w:ilvl w:val="0"/>
          <w:numId w:val="1002"/>
        </w:numPr>
        <w:pStyle w:val="Compact"/>
      </w:pPr>
      <w:r>
        <w:t xml:space="preserve">2018 год - 101,4</w:t>
      </w:r>
    </w:p>
    <w:p>
      <w:pPr>
        <w:numPr>
          <w:ilvl w:val="0"/>
          <w:numId w:val="1002"/>
        </w:numPr>
        <w:pStyle w:val="Compact"/>
      </w:pPr>
      <w:r>
        <w:t xml:space="preserve">2019 год - 101,4</w:t>
      </w:r>
    </w:p>
    <w:p>
      <w:pPr>
        <w:numPr>
          <w:ilvl w:val="0"/>
          <w:numId w:val="1002"/>
        </w:numPr>
        <w:pStyle w:val="Compact"/>
      </w:pPr>
      <w:r>
        <w:t xml:space="preserve">2020 год - 102,0</w:t>
      </w:r>
    </w:p>
    <w:p>
      <w:pPr>
        <w:numPr>
          <w:ilvl w:val="0"/>
          <w:numId w:val="1002"/>
        </w:numPr>
        <w:pStyle w:val="Compact"/>
      </w:pPr>
      <w:r>
        <w:t xml:space="preserve">2021 год - 103,1</w:t>
      </w:r>
    </w:p>
    <w:p>
      <w:pPr>
        <w:numPr>
          <w:ilvl w:val="0"/>
          <w:numId w:val="1002"/>
        </w:numPr>
        <w:pStyle w:val="Compact"/>
      </w:pPr>
      <w:r>
        <w:t xml:space="preserve">2022 год - 103,6</w:t>
      </w:r>
    </w:p>
    <w:p>
      <w:pPr>
        <w:numPr>
          <w:ilvl w:val="0"/>
          <w:numId w:val="1002"/>
        </w:numPr>
        <w:pStyle w:val="Compact"/>
      </w:pPr>
      <w:r>
        <w:t xml:space="preserve">2023 год - 104,1</w:t>
      </w:r>
    </w:p>
    <w:p>
      <w:pPr>
        <w:numPr>
          <w:ilvl w:val="0"/>
          <w:numId w:val="1002"/>
        </w:numPr>
        <w:pStyle w:val="Compact"/>
      </w:pPr>
      <w:r>
        <w:t xml:space="preserve">2024 год - 105,0</w:t>
      </w:r>
    </w:p>
    <w:p>
      <w:pPr>
        <w:pStyle w:val="FirstParagraph"/>
      </w:pPr>
      <w:r>
        <w:br/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Прирост производительности труда на средних и крупных предприятиях базовых несырьевых отраслей экономики по отношению к производительности труда в РФ, процентных пунктов: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2018 год - 0,0</w:t>
      </w:r>
    </w:p>
    <w:p>
      <w:pPr>
        <w:numPr>
          <w:ilvl w:val="0"/>
          <w:numId w:val="1004"/>
        </w:numPr>
        <w:pStyle w:val="Compact"/>
      </w:pPr>
      <w:r>
        <w:t xml:space="preserve">2019 год - 0,1</w:t>
      </w:r>
    </w:p>
    <w:p>
      <w:pPr>
        <w:numPr>
          <w:ilvl w:val="0"/>
          <w:numId w:val="1004"/>
        </w:numPr>
        <w:pStyle w:val="Compact"/>
      </w:pPr>
      <w:r>
        <w:t xml:space="preserve">2020 год - 0,2</w:t>
      </w:r>
    </w:p>
    <w:p>
      <w:pPr>
        <w:numPr>
          <w:ilvl w:val="0"/>
          <w:numId w:val="1004"/>
        </w:numPr>
        <w:pStyle w:val="Compact"/>
      </w:pPr>
      <w:r>
        <w:t xml:space="preserve">2021 год - 0,2</w:t>
      </w:r>
    </w:p>
    <w:p>
      <w:pPr>
        <w:numPr>
          <w:ilvl w:val="0"/>
          <w:numId w:val="1004"/>
        </w:numPr>
        <w:pStyle w:val="Compact"/>
      </w:pPr>
      <w:r>
        <w:t xml:space="preserve">2022 год - 0,4</w:t>
      </w:r>
    </w:p>
    <w:p>
      <w:pPr>
        <w:numPr>
          <w:ilvl w:val="0"/>
          <w:numId w:val="1004"/>
        </w:numPr>
        <w:pStyle w:val="Compact"/>
      </w:pPr>
      <w:r>
        <w:t xml:space="preserve">2023 год - 1,2</w:t>
      </w:r>
    </w:p>
    <w:p>
      <w:pPr>
        <w:numPr>
          <w:ilvl w:val="0"/>
          <w:numId w:val="1004"/>
        </w:numPr>
        <w:pStyle w:val="Compact"/>
      </w:pPr>
      <w:r>
        <w:t xml:space="preserve">2024 год - 1,8</w:t>
      </w:r>
    </w:p>
    <w:p>
      <w:pPr>
        <w:pStyle w:val="FirstParagraph"/>
      </w:pPr>
      <w:r>
        <w:br/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Количество привлеченных к участию в реализации национального проекта субъектов Российской Федерации, ед. нарастающим итогом:</w:t>
      </w:r>
      <w:r>
        <w:br/>
      </w:r>
    </w:p>
    <w:p>
      <w:pPr>
        <w:numPr>
          <w:ilvl w:val="0"/>
          <w:numId w:val="1006"/>
        </w:numPr>
        <w:pStyle w:val="Compact"/>
      </w:pPr>
      <w:r>
        <w:t xml:space="preserve">2018 год - 16</w:t>
      </w:r>
    </w:p>
    <w:p>
      <w:pPr>
        <w:numPr>
          <w:ilvl w:val="0"/>
          <w:numId w:val="1006"/>
        </w:numPr>
        <w:pStyle w:val="Compact"/>
      </w:pPr>
      <w:r>
        <w:t xml:space="preserve">2019 год - 29</w:t>
      </w:r>
    </w:p>
    <w:p>
      <w:pPr>
        <w:numPr>
          <w:ilvl w:val="0"/>
          <w:numId w:val="1006"/>
        </w:numPr>
        <w:pStyle w:val="Compact"/>
      </w:pPr>
      <w:r>
        <w:t xml:space="preserve">2020 год - 43</w:t>
      </w:r>
    </w:p>
    <w:p>
      <w:pPr>
        <w:numPr>
          <w:ilvl w:val="0"/>
          <w:numId w:val="1006"/>
        </w:numPr>
        <w:pStyle w:val="Compact"/>
      </w:pPr>
      <w:r>
        <w:t xml:space="preserve">2021 год - 57</w:t>
      </w:r>
    </w:p>
    <w:p>
      <w:pPr>
        <w:numPr>
          <w:ilvl w:val="0"/>
          <w:numId w:val="1006"/>
        </w:numPr>
        <w:pStyle w:val="Compact"/>
      </w:pPr>
      <w:r>
        <w:t xml:space="preserve">2022 год - 71</w:t>
      </w:r>
    </w:p>
    <w:p>
      <w:pPr>
        <w:numPr>
          <w:ilvl w:val="0"/>
          <w:numId w:val="1006"/>
        </w:numPr>
        <w:pStyle w:val="Compact"/>
      </w:pPr>
      <w:r>
        <w:t xml:space="preserve">2023 год - 85</w:t>
      </w:r>
    </w:p>
    <w:p>
      <w:pPr>
        <w:numPr>
          <w:ilvl w:val="0"/>
          <w:numId w:val="1006"/>
        </w:numPr>
        <w:pStyle w:val="Compact"/>
      </w:pPr>
      <w:r>
        <w:t xml:space="preserve">2024 год - 85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p>
      <w:pPr>
        <w:pStyle w:val="FirstParagraph"/>
      </w:pPr>
      <w:r>
        <w:t xml:space="preserve">Количество средних и крупных предприятий базовых несырьевых отраслей экономики, вовлеченных в реализацию национального проекта, не менее ед. нарастающим итогом:</w:t>
      </w:r>
    </w:p>
    <w:p>
      <w:pPr>
        <w:numPr>
          <w:ilvl w:val="0"/>
          <w:numId w:val="1008"/>
        </w:numPr>
        <w:pStyle w:val="Compact"/>
      </w:pPr>
      <w:r>
        <w:t xml:space="preserve">2018 год - 100</w:t>
      </w:r>
    </w:p>
    <w:p>
      <w:pPr>
        <w:numPr>
          <w:ilvl w:val="0"/>
          <w:numId w:val="1008"/>
        </w:numPr>
        <w:pStyle w:val="Compact"/>
      </w:pPr>
      <w:r>
        <w:t xml:space="preserve">2019 год - 958</w:t>
      </w:r>
    </w:p>
    <w:p>
      <w:pPr>
        <w:numPr>
          <w:ilvl w:val="0"/>
          <w:numId w:val="1008"/>
        </w:numPr>
        <w:pStyle w:val="Compact"/>
      </w:pPr>
      <w:r>
        <w:t xml:space="preserve">2020 год - 2034</w:t>
      </w:r>
    </w:p>
    <w:p>
      <w:pPr>
        <w:numPr>
          <w:ilvl w:val="0"/>
          <w:numId w:val="1008"/>
        </w:numPr>
        <w:pStyle w:val="Compact"/>
      </w:pPr>
      <w:r>
        <w:t xml:space="preserve">2021 год - 3728</w:t>
      </w:r>
    </w:p>
    <w:p>
      <w:pPr>
        <w:numPr>
          <w:ilvl w:val="0"/>
          <w:numId w:val="1008"/>
        </w:numPr>
        <w:pStyle w:val="Compact"/>
      </w:pPr>
      <w:r>
        <w:t xml:space="preserve">2022 год - 5840</w:t>
      </w:r>
    </w:p>
    <w:p>
      <w:pPr>
        <w:numPr>
          <w:ilvl w:val="0"/>
          <w:numId w:val="1008"/>
        </w:numPr>
        <w:pStyle w:val="Compact"/>
      </w:pPr>
      <w:r>
        <w:t xml:space="preserve">2023 год - 8090</w:t>
      </w:r>
    </w:p>
    <w:p>
      <w:pPr>
        <w:numPr>
          <w:ilvl w:val="0"/>
          <w:numId w:val="1008"/>
        </w:numPr>
        <w:pStyle w:val="Compact"/>
      </w:pPr>
      <w:r>
        <w:t xml:space="preserve">2024 год - 10000</w:t>
      </w:r>
    </w:p>
    <w:p>
      <w:pPr>
        <w:pStyle w:val="FirstParagraph"/>
      </w:pPr>
      <w:r>
        <w:br/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Доля предприятий от общего числа предприятий, вовлеченных в национальный проект, на которых прирост производительности труда соответствует целевым показателям, процент:</w:t>
      </w:r>
      <w:r>
        <w:br/>
      </w:r>
    </w:p>
    <w:p>
      <w:pPr>
        <w:numPr>
          <w:ilvl w:val="0"/>
          <w:numId w:val="1010"/>
        </w:numPr>
        <w:pStyle w:val="Compact"/>
      </w:pPr>
      <w:r>
        <w:t xml:space="preserve">2018 год - 0</w:t>
      </w:r>
    </w:p>
    <w:p>
      <w:pPr>
        <w:numPr>
          <w:ilvl w:val="0"/>
          <w:numId w:val="1010"/>
        </w:numPr>
        <w:pStyle w:val="Compact"/>
      </w:pPr>
      <w:r>
        <w:t xml:space="preserve">2019 год - 60</w:t>
      </w:r>
    </w:p>
    <w:p>
      <w:pPr>
        <w:numPr>
          <w:ilvl w:val="0"/>
          <w:numId w:val="1010"/>
        </w:numPr>
        <w:pStyle w:val="Compact"/>
      </w:pPr>
      <w:r>
        <w:t xml:space="preserve">2020 год - 80</w:t>
      </w:r>
    </w:p>
    <w:p>
      <w:pPr>
        <w:numPr>
          <w:ilvl w:val="0"/>
          <w:numId w:val="1010"/>
        </w:numPr>
        <w:pStyle w:val="Compact"/>
      </w:pPr>
      <w:r>
        <w:t xml:space="preserve">2021 год - 90</w:t>
      </w:r>
    </w:p>
    <w:p>
      <w:pPr>
        <w:numPr>
          <w:ilvl w:val="0"/>
          <w:numId w:val="1010"/>
        </w:numPr>
        <w:pStyle w:val="Compact"/>
      </w:pPr>
      <w:r>
        <w:t xml:space="preserve">2022 год - 95</w:t>
      </w:r>
    </w:p>
    <w:p>
      <w:pPr>
        <w:numPr>
          <w:ilvl w:val="0"/>
          <w:numId w:val="1010"/>
        </w:numPr>
        <w:pStyle w:val="Compact"/>
      </w:pPr>
      <w:r>
        <w:t xml:space="preserve">2023 год - 95</w:t>
      </w:r>
    </w:p>
    <w:p>
      <w:pPr>
        <w:numPr>
          <w:ilvl w:val="0"/>
          <w:numId w:val="1010"/>
        </w:numPr>
        <w:pStyle w:val="Compact"/>
      </w:pPr>
      <w:r>
        <w:t xml:space="preserve">2024 год - 95</w:t>
      </w:r>
    </w:p>
    <w:p>
      <w:pPr>
        <w:pStyle w:val="FirstParagraph"/>
      </w:pPr>
      <w:r>
        <w:br/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Количество средних и крупных предприятий базовых несырьевых отраслей экономики, воспользовавшихся мерами поддержки в рамках национального проекта, не менее ед. нарастающим итогом:</w:t>
      </w:r>
      <w:r>
        <w:br/>
      </w:r>
    </w:p>
    <w:p>
      <w:pPr>
        <w:numPr>
          <w:ilvl w:val="0"/>
          <w:numId w:val="1012"/>
        </w:numPr>
        <w:pStyle w:val="Compact"/>
      </w:pPr>
      <w:r>
        <w:t xml:space="preserve">2018 год - 0</w:t>
      </w:r>
    </w:p>
    <w:p>
      <w:pPr>
        <w:numPr>
          <w:ilvl w:val="0"/>
          <w:numId w:val="1012"/>
        </w:numPr>
        <w:pStyle w:val="Compact"/>
      </w:pPr>
      <w:r>
        <w:t xml:space="preserve">2019 год - 60</w:t>
      </w:r>
    </w:p>
    <w:p>
      <w:pPr>
        <w:numPr>
          <w:ilvl w:val="0"/>
          <w:numId w:val="1012"/>
        </w:numPr>
        <w:pStyle w:val="Compact"/>
      </w:pPr>
      <w:r>
        <w:t xml:space="preserve">2020 год - 575</w:t>
      </w:r>
    </w:p>
    <w:p>
      <w:pPr>
        <w:numPr>
          <w:ilvl w:val="0"/>
          <w:numId w:val="1012"/>
        </w:numPr>
        <w:pStyle w:val="Compact"/>
      </w:pPr>
      <w:r>
        <w:t xml:space="preserve">2021 год - 1220</w:t>
      </w:r>
    </w:p>
    <w:p>
      <w:pPr>
        <w:numPr>
          <w:ilvl w:val="0"/>
          <w:numId w:val="1012"/>
        </w:numPr>
        <w:pStyle w:val="Compact"/>
      </w:pPr>
      <w:r>
        <w:t xml:space="preserve">2022 год - 2237</w:t>
      </w:r>
    </w:p>
    <w:p>
      <w:pPr>
        <w:numPr>
          <w:ilvl w:val="0"/>
          <w:numId w:val="1012"/>
        </w:numPr>
        <w:pStyle w:val="Compact"/>
      </w:pPr>
      <w:r>
        <w:t xml:space="preserve">2023 год - 3504</w:t>
      </w:r>
    </w:p>
    <w:p>
      <w:pPr>
        <w:numPr>
          <w:ilvl w:val="0"/>
          <w:numId w:val="1012"/>
        </w:numPr>
        <w:pStyle w:val="Compact"/>
      </w:pPr>
      <w:r>
        <w:t xml:space="preserve">2024 год - 4854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Финансовое обеспечение</w:t>
      </w:r>
      <w:r>
        <w:br/>
      </w:r>
    </w:p>
    <w:p>
      <w:pPr>
        <w:pStyle w:val="BodyText"/>
      </w:pPr>
      <w:r>
        <w:t xml:space="preserve">- федеральный проект «Системные меры по повышению производительности труда» - 5 545,0 млн. рублей</w:t>
      </w:r>
    </w:p>
    <w:p>
      <w:pPr>
        <w:pStyle w:val="BodyText"/>
      </w:pPr>
      <w:r>
        <w:t xml:space="preserve">- федеральный проект «Адресная поддержка повышения производительности труда на предприятиях» - 33 857,5 млн. рублей</w:t>
      </w:r>
    </w:p>
    <w:p>
      <w:pPr>
        <w:pStyle w:val="BodyText"/>
      </w:pPr>
      <w:r>
        <w:t xml:space="preserve">- федеральный проект «Поддержка занятости и повышение эффективности рынка труда для обеспечения роста производительности» - 12 724,7 млн. рублей</w:t>
      </w:r>
    </w:p>
    <w:p>
      <w:pPr>
        <w:pStyle w:val="BodyText"/>
      </w:pPr>
      <w:r>
        <w:t xml:space="preserve">Федеральные проекты национального проекта «Производительность труда и поддержка занятости»</w:t>
      </w:r>
    </w:p>
    <w:p>
      <w:pPr>
        <w:numPr>
          <w:ilvl w:val="0"/>
          <w:numId w:val="1013"/>
        </w:numPr>
        <w:pStyle w:val="Compact"/>
      </w:pPr>
      <w:hyperlink r:id="rId27">
        <w:r>
          <w:rPr>
            <w:rStyle w:val="Hyperlink"/>
            <w:u w:val="single"/>
            <w:bCs/>
            <w:b/>
          </w:rPr>
          <w:t xml:space="preserve">Системные меры по повышению производительности труда</w:t>
        </w:r>
      </w:hyperlink>
      <w:r>
        <w:t xml:space="preserve">, сроки реализации: 01.10.2018 – 31.12.2024. Руководитель проекта С.С. Галкин</w:t>
      </w:r>
    </w:p>
    <w:p>
      <w:pPr>
        <w:numPr>
          <w:ilvl w:val="0"/>
          <w:numId w:val="1013"/>
        </w:numPr>
        <w:pStyle w:val="Compact"/>
      </w:pPr>
      <w:hyperlink r:id="rId28">
        <w:r>
          <w:rPr>
            <w:rStyle w:val="Hyperlink"/>
            <w:u w:val="single"/>
            <w:bCs/>
            <w:b/>
          </w:rPr>
          <w:t xml:space="preserve">Адресная поддержка повышения производительности труда на предприятиях</w:t>
        </w:r>
      </w:hyperlink>
      <w:r>
        <w:t xml:space="preserve">, сроки реализации: 01.10.2018 – 31.12.2024. Руководитель проекта Н.И. Соломон</w:t>
      </w:r>
    </w:p>
    <w:p>
      <w:pPr>
        <w:numPr>
          <w:ilvl w:val="0"/>
          <w:numId w:val="1013"/>
        </w:numPr>
        <w:pStyle w:val="Compact"/>
      </w:pPr>
      <w:hyperlink r:id="rId29">
        <w:r>
          <w:rPr>
            <w:rStyle w:val="Hyperlink"/>
            <w:u w:val="single"/>
            <w:bCs/>
            <w:b/>
          </w:rPr>
          <w:t xml:space="preserve">Поддержка занятости и повышение эффективности рынка труда для обеспечения роста производительности</w:t>
        </w:r>
      </w:hyperlink>
      <w:r>
        <w:t xml:space="preserve">, сроки реализации: 01.10.2018 – 31.12.2024. Руководитель проекта А.В. Вовченко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О проекте</w:t>
      </w:r>
    </w:p>
    <w:p>
      <w:pPr>
        <w:pStyle w:val="BodyText"/>
      </w:pPr>
      <w:r>
        <w:t xml:space="preserve">Нацпроект «Повышение производительности труда и поддержка занятости» является продолжением одноименного приоритетного проекта, который реализовывался с 2017 года. По состоянию на 1 июня 2018 года в приоритетный проект было вовлечено 100 средних и крупных несырьевых предприятий. Планируется, что нацпроект затронет уже 10 тыс. предприятий в 85 регионах РФ, а мерами поддержки в его рамках воспользуются 4 тыс. 854 предприятия.</w:t>
      </w:r>
    </w:p>
    <w:p>
      <w:pPr>
        <w:pStyle w:val="BodyText"/>
      </w:pPr>
      <w:r>
        <w:t xml:space="preserve">Нацпроект нацелен на стимулирование предприятий к повышению производительности труда, снятие лишних административно-регуляторных барьеров и развитие экспортного потенциала. Для выполнения этих задач будут проводиться обучение и стажировка управленческих кадров (всего планируется обучить почти 200 тыс. человек), а также создана система грантовой поддержки, модернизированы службы занятости. Главный целевой показатель нацпроекта - ежегодный рост производительности труда на средних и крупных предприятиях несырьевого сектора экономики. Его планируется довести c 1,4% в 2018 году до 5% в 2024 году.</w:t>
      </w:r>
    </w:p>
    <w:p>
      <w:pPr>
        <w:pStyle w:val="BodyText"/>
      </w:pPr>
      <w:r>
        <w:rPr>
          <w:bCs/>
          <w:b/>
        </w:rPr>
        <w:t xml:space="preserve">Кто может стать участником проекта</w:t>
      </w:r>
    </w:p>
    <w:p>
      <w:pPr>
        <w:pStyle w:val="BodyText"/>
      </w:pPr>
      <w:r>
        <w:t xml:space="preserve">Участником проекта может стать любое производственное предприятие из любого региона Российской Федерации при условии соответствия критериям отбора</w:t>
      </w:r>
    </w:p>
    <w:p>
      <w:pPr>
        <w:pStyle w:val="BodyText"/>
      </w:pPr>
      <w:r>
        <w:rPr>
          <w:bCs/>
          <w:b/>
        </w:rPr>
        <w:t xml:space="preserve">Основные критерии для участия в проекте</w:t>
      </w:r>
    </w:p>
    <w:p>
      <w:pPr>
        <w:numPr>
          <w:ilvl w:val="0"/>
          <w:numId w:val="1014"/>
        </w:numPr>
        <w:pStyle w:val="Compact"/>
      </w:pPr>
      <w:r>
        <w:t xml:space="preserve">Выручка предприятия от 400 млн рублей до 30 млрд рублей в год</w:t>
      </w:r>
    </w:p>
    <w:p>
      <w:pPr>
        <w:numPr>
          <w:ilvl w:val="0"/>
          <w:numId w:val="1014"/>
        </w:numPr>
        <w:pStyle w:val="Compact"/>
      </w:pPr>
      <w:r>
        <w:t xml:space="preserve">Наличие потенциала повышения производительности труда не менее 10%</w:t>
      </w:r>
    </w:p>
    <w:p>
      <w:pPr>
        <w:numPr>
          <w:ilvl w:val="0"/>
          <w:numId w:val="1014"/>
        </w:numPr>
        <w:pStyle w:val="Compact"/>
      </w:pPr>
      <w:r>
        <w:t xml:space="preserve">Отношение предприятия к одной из приоритетных отраслей, а именно: обрабатывающее производство, сельское хозяйство, транспорт, строительство</w:t>
      </w:r>
    </w:p>
    <w:p>
      <w:pPr>
        <w:numPr>
          <w:ilvl w:val="0"/>
          <w:numId w:val="1014"/>
        </w:numPr>
        <w:pStyle w:val="Compact"/>
      </w:pPr>
      <w:r>
        <w:t xml:space="preserve">Доля участия налоговых резидентов иностранных государств в уставном (складочном) капитале юридического лица не выше 25%</w:t>
      </w:r>
      <w:r>
        <w:br/>
      </w:r>
      <w:r>
        <w:br/>
      </w:r>
    </w:p>
    <w:p>
      <w:pPr>
        <w:pStyle w:val="FirstParagraph"/>
      </w:pPr>
      <w:r>
        <w:rPr>
          <w:bCs/>
          <w:b/>
        </w:rPr>
        <w:t xml:space="preserve">Дополнительные критерии для участия в проекте</w:t>
      </w:r>
    </w:p>
    <w:p>
      <w:pPr>
        <w:numPr>
          <w:ilvl w:val="0"/>
          <w:numId w:val="1015"/>
        </w:numPr>
        <w:pStyle w:val="Compact"/>
      </w:pPr>
      <w:r>
        <w:t xml:space="preserve">желание руководства участвовать в проекте и добиваться результатов</w:t>
      </w:r>
    </w:p>
    <w:p>
      <w:pPr>
        <w:numPr>
          <w:ilvl w:val="0"/>
          <w:numId w:val="1015"/>
        </w:numPr>
        <w:pStyle w:val="Compact"/>
      </w:pPr>
      <w:r>
        <w:t xml:space="preserve">опыт внедрения инструментов бережливого производства на предприятии</w:t>
      </w:r>
    </w:p>
    <w:p>
      <w:pPr>
        <w:numPr>
          <w:ilvl w:val="0"/>
          <w:numId w:val="1015"/>
        </w:numPr>
        <w:pStyle w:val="Compact"/>
      </w:pPr>
      <w:r>
        <w:t xml:space="preserve">наличие ресурсов (проектного офиса) для реализации проекта</w:t>
      </w:r>
    </w:p>
    <w:p>
      <w:pPr>
        <w:numPr>
          <w:ilvl w:val="0"/>
          <w:numId w:val="1015"/>
        </w:numPr>
        <w:pStyle w:val="Compact"/>
      </w:pPr>
      <w:r>
        <w:t xml:space="preserve">существенный разрыв между текущими показателями производительности труда, оборачиваемости запасов и отраслевыми бенчмарками</w:t>
      </w:r>
    </w:p>
    <w:p>
      <w:pPr>
        <w:numPr>
          <w:ilvl w:val="0"/>
          <w:numId w:val="1015"/>
        </w:numPr>
        <w:pStyle w:val="Compact"/>
      </w:pPr>
      <w:r>
        <w:t xml:space="preserve">возможность роста объема продаж за счет наращивания объемов производства</w:t>
      </w:r>
    </w:p>
    <w:p>
      <w:pPr>
        <w:numPr>
          <w:ilvl w:val="0"/>
          <w:numId w:val="1015"/>
        </w:numPr>
        <w:pStyle w:val="Compact"/>
      </w:pPr>
      <w:r>
        <w:t xml:space="preserve">согласование участия предприятия в проекте руководством региона и ФЦК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hyperlink r:id="rId30">
        <w:r>
          <w:rPr>
            <w:rStyle w:val="Hyperlink"/>
            <w:u w:val="single"/>
            <w:bCs/>
            <w:b/>
          </w:rPr>
          <w:t xml:space="preserve">Паспорт</w:t>
        </w:r>
      </w:hyperlink>
      <w:r>
        <w:rPr>
          <w:u w:val="single"/>
          <w:bCs/>
          <w:b/>
        </w:rPr>
        <w:t xml:space="preserve"> </w:t>
      </w:r>
      <w:r>
        <w:t xml:space="preserve">национального проекта «Производительность труда и поддержка занятости»</w:t>
      </w:r>
    </w:p>
    <w:p>
      <w:pPr>
        <w:pStyle w:val="BodyText"/>
      </w:pPr>
      <w:r>
        <w:br/>
      </w:r>
    </w:p>
    <w:p>
      <w:pPr>
        <w:pStyle w:val="BodyText"/>
      </w:pPr>
      <w:hyperlink r:id="rId31">
        <w:r>
          <w:rPr>
            <w:rStyle w:val="Hyperlink"/>
            <w:u w:val="single"/>
            <w:bCs/>
            <w:b/>
          </w:rPr>
          <w:t xml:space="preserve">Информационные материалы о национальном проекте «Производительность труда и поддержка занятости»</w:t>
        </w:r>
      </w:hyperlink>
    </w:p>
    <w:p>
      <w:pPr>
        <w:pStyle w:val="BodyText"/>
      </w:pPr>
      <w:hyperlink r:id="rId32">
        <w:r>
          <w:rPr>
            <w:rStyle w:val="Hyperlink"/>
            <w:u w:val="single"/>
            <w:bCs/>
            <w:b/>
          </w:rPr>
          <w:t xml:space="preserve">Национальные проекты РФ: Проект "Стратегия 24"</w:t>
        </w:r>
      </w:hyperlink>
    </w:p>
    <w:p>
      <w:pPr>
        <w:pStyle w:val="BodyText"/>
      </w:pPr>
      <w:hyperlink r:id="rId33">
        <w:r>
          <w:rPr>
            <w:rStyle w:val="Hyperlink"/>
            <w:u w:val="single"/>
            <w:bCs/>
            <w:b/>
          </w:rPr>
          <w:t xml:space="preserve">Национальные проекты РФ: Производительность труда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4">
        <w:r>
          <w:rPr>
            <w:rStyle w:val="Hyperlink"/>
          </w:rPr>
          <w:t xml:space="preserve">http://sao.mos.ru/presscenter/news/detail/12074498.html</w:t>
        </w:r>
      </w:hyperlink>
    </w:p>
    <w:p>
      <w:pPr>
        <w:pStyle w:val="BodyText"/>
      </w:pPr>
      <w:hyperlink r:id="rId35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31" Target="/&#1092;&#1086;&#1090;&#1082;&#1080;%20&#1089;&#1072;&#1086;/materialy.pdf" TargetMode="External" /><Relationship Type="http://schemas.openxmlformats.org/officeDocument/2006/relationships/hyperlink" Id="rId30" Target="/&#1092;&#1086;&#1090;&#1082;&#1080;%20&#1089;&#1072;&#1086;/pasport-proekta.pdf" TargetMode="External" /><Relationship Type="http://schemas.openxmlformats.org/officeDocument/2006/relationships/hyperlink" Id="rId35" Target="http://sao.mos.ru" TargetMode="External" /><Relationship Type="http://schemas.openxmlformats.org/officeDocument/2006/relationships/hyperlink" Id="rId34" Target="http://sao.mos.ru/presscenter/news/detail/12074498.html" TargetMode="External" /><Relationship Type="http://schemas.openxmlformats.org/officeDocument/2006/relationships/hyperlink" Id="rId27" Target="https://storage.strategy24.ru/files/project/201904/07acf881f648fbe22f56bd296ba15075.pdf" TargetMode="External" /><Relationship Type="http://schemas.openxmlformats.org/officeDocument/2006/relationships/hyperlink" Id="rId28" Target="https://storage.strategy24.ru/files/project/201904/2fef94ff53ec50f1a3cb9033decaf794.pdf" TargetMode="External" /><Relationship Type="http://schemas.openxmlformats.org/officeDocument/2006/relationships/hyperlink" Id="rId29" Target="https://storage.strategy24.ru/files/project/201904/90765aeff672b0aab934697d8dc63fa6.pdf" TargetMode="External" /><Relationship Type="http://schemas.openxmlformats.org/officeDocument/2006/relationships/hyperlink" Id="rId32" Target="https://strategy24.ru/rf/communication/projects/natsional-nyy-proyekt-proizvoditel-nost-truda-i-podderzhka-zanyatosti" TargetMode="External" /><Relationship Type="http://schemas.openxmlformats.org/officeDocument/2006/relationships/hyperlink" Id="rId33" Target="https://xn--80aapampemcchfmo7a3c9ehj.xn--p1ai/projects/proizvoditelnost-truda" TargetMode="External" /><Relationship Type="http://schemas.openxmlformats.org/officeDocument/2006/relationships/hyperlink" Id="rId26" Target="https://xn--b1aedfedwqbdfbnzkf0oe.xn--p1a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1" Target="/&#1092;&#1086;&#1090;&#1082;&#1080;%20&#1089;&#1072;&#1086;/materialy.pdf" TargetMode="External" /><Relationship Type="http://schemas.openxmlformats.org/officeDocument/2006/relationships/hyperlink" Id="rId30" Target="/&#1092;&#1086;&#1090;&#1082;&#1080;%20&#1089;&#1072;&#1086;/pasport-proekta.pdf" TargetMode="External" /><Relationship Type="http://schemas.openxmlformats.org/officeDocument/2006/relationships/hyperlink" Id="rId35" Target="http://sao.mos.ru" TargetMode="External" /><Relationship Type="http://schemas.openxmlformats.org/officeDocument/2006/relationships/hyperlink" Id="rId34" Target="http://sao.mos.ru/presscenter/news/detail/12074498.html" TargetMode="External" /><Relationship Type="http://schemas.openxmlformats.org/officeDocument/2006/relationships/hyperlink" Id="rId27" Target="https://storage.strategy24.ru/files/project/201904/07acf881f648fbe22f56bd296ba15075.pdf" TargetMode="External" /><Relationship Type="http://schemas.openxmlformats.org/officeDocument/2006/relationships/hyperlink" Id="rId28" Target="https://storage.strategy24.ru/files/project/201904/2fef94ff53ec50f1a3cb9033decaf794.pdf" TargetMode="External" /><Relationship Type="http://schemas.openxmlformats.org/officeDocument/2006/relationships/hyperlink" Id="rId29" Target="https://storage.strategy24.ru/files/project/201904/90765aeff672b0aab934697d8dc63fa6.pdf" TargetMode="External" /><Relationship Type="http://schemas.openxmlformats.org/officeDocument/2006/relationships/hyperlink" Id="rId32" Target="https://strategy24.ru/rf/communication/projects/natsional-nyy-proyekt-proizvoditel-nost-truda-i-podderzhka-zanyatosti" TargetMode="External" /><Relationship Type="http://schemas.openxmlformats.org/officeDocument/2006/relationships/hyperlink" Id="rId33" Target="https://xn--80aapampemcchfmo7a3c9ehj.xn--p1ai/projects/proizvoditelnost-truda" TargetMode="External" /><Relationship Type="http://schemas.openxmlformats.org/officeDocument/2006/relationships/hyperlink" Id="rId26" Target="https://xn--b1aedfedwqbdfbnzkf0oe.xn--p1a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2025-02-16T07:43:11Z</dcterms:created>
  <dcterms:modified xsi:type="dcterms:W3CDTF">2025-02-16T07:43:11Z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