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3499bb587535ed9d6e90c946feb8b97739ee4"/>
    <w:p>
      <w:pPr>
        <w:pStyle w:val="Heading3"/>
      </w:pPr>
      <w:r>
        <w:t xml:space="preserve">Колледж предпринимательства №11 из САО активно взаимодействует с Гохраном России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drawing>
          <wp:inline>
            <wp:extent cx="1828800" cy="12200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4%20(37654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20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ноябре для студентов, обучающихся по специальностям «Технология обработки алмазов», профессиям «Огранщик алмазов в бриллианты» и «Ювелир», Гохран России организовал цикл встреч со своими специалистами и экспертами с целью повышения и конкретизации их профессиональных компетенций с учетом современных требований.</w:t>
      </w:r>
    </w:p>
    <w:p>
      <w:pPr>
        <w:pStyle w:val="BodyText"/>
      </w:pPr>
      <w:r>
        <w:t xml:space="preserve">Более 50 лет колледж направляет своих выпускников в Национальную сокровищницу – Гохран. На первой встрече руководитель Гохрана РФ Андрей Владимирович Юрин и директор колледжа Вячеслав Владимирович Шептуха вместе со студентами и преподавателями обсудили специфику диагностики бриллиантов, жемчуга и изумрудов, а также специальную терминологию минералогии и другие особенности исследований, необходимые современному специалисту в ограночной и ювелирной отраслях.</w:t>
      </w:r>
    </w:p>
    <w:p>
      <w:pPr>
        <w:pStyle w:val="BodyText"/>
      </w:pPr>
      <w:r>
        <w:t xml:space="preserve">Директор Колледжа В.В. Шептуха вручил благодарность руководителю Гохрана РФ А.В. Юрину.</w:t>
      </w:r>
    </w:p>
    <w:p>
      <w:pPr>
        <w:pStyle w:val="BodyText"/>
      </w:pPr>
      <w:r>
        <w:t xml:space="preserve">Материалы этого уникального события в жизни Центра алмазных технологий и геммологии колледжа вошли в экспозицию музея «История огранки алмазов в КП №11», который много лет действует на территории колледжа и является бесплатным.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http://sao.mos.ru/news/news/detail/12002630.html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002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002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2025-05-28T15:09:58Z</dcterms:created>
  <dcterms:modified xsi:type="dcterms:W3CDTF">2025-05-28T15:09:58Z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