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976f5449a56155585f4cd66804534ecac73cba"/>
    <w:p>
      <w:pPr>
        <w:pStyle w:val="Heading3"/>
      </w:pPr>
      <w:r>
        <w:t xml:space="preserve">В Москве исключили 235 объектов из перечня торгово-офисных объектов недвижимости, облагаемых налогом на имущество от кадастровой стоимости</w:t>
      </w:r>
    </w:p>
    <w:p>
      <w:pPr>
        <w:pStyle w:val="FirstParagraph"/>
      </w:pPr>
      <w:r>
        <w:t xml:space="preserve">10.04.2023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9c6/fful33lfr9uw2mfdzvw0w3awqfcx3wyk/nalog_na_imuschestvo_10_04_ivanko_17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Организации — собственники исключенных объектов будут уплачивать налог на имущество за 2023 год от среднегодовой стоимости недвижимости. Об этом сообщила Мария Багреева, Министр Правительства Москвы, руководитель Департамента экономической политики и развития города Москвы.</w:t>
      </w:r>
    </w:p>
    <w:p>
      <w:pPr>
        <w:pStyle w:val="BodyText"/>
      </w:pPr>
      <w:r>
        <w:t xml:space="preserve">Регулярная работа по актуализации сведений об объектах недвижимости проводится Правительством Москвы совместно с Росреестром.</w:t>
      </w:r>
    </w:p>
    <w:p>
      <w:pPr>
        <w:pStyle w:val="BodyText"/>
      </w:pPr>
      <w:r>
        <w:t xml:space="preserve">«Город оперативно реагирует на изменения в характеристиках объектов недвижимости и на запросы их владельцев. Корректировки, вносимые в перечень торгово-офисной недвижимости в процессе межведомственного взаимодействия, обеспечивают справедливый уровень налоговой нагрузки на владельцев имущества», — добавила Мария Багреева.</w:t>
      </w:r>
    </w:p>
    <w:p>
      <w:pPr>
        <w:pStyle w:val="BodyText"/>
      </w:pPr>
      <w:r>
        <w:t xml:space="preserve">В Москве перевод торгово-офисной недвижимости на исчисление налога на имущество от кадастровой стоимости начался в 2014 году. Кадастровая стоимость отражает реальную стоимость объектов и обеспечивает справедливые условия налогообложения.</w:t>
      </w:r>
    </w:p>
    <w:p>
      <w:pPr>
        <w:pStyle w:val="BodyText"/>
      </w:pPr>
      <w:r>
        <w:t xml:space="preserve">Перечень объектов торгово-офисной недвижимости ежегодно утверждается Правительством Москвы. Налог на имущество таких объектов исчисляется исходя из кадастровой стоимости. В 2023 году в перечне свыше 37 тысяч объектов — это торговая и офисная недвижимость, объекты общественного питания и бытового обслуживания.</w:t>
      </w:r>
    </w:p>
    <w:p>
      <w:pPr>
        <w:pStyle w:val="BodyText"/>
      </w:pPr>
      <w:r>
        <w:t xml:space="preserve">Ознакомиться с объектами недвижимости, включенными в перечень, можно на портале mos.ru, воспользовавшись специальным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сервисом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http://sao.mos.ru/news/news/detail/11520495.html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1520495.html" TargetMode="External" /><Relationship Type="http://schemas.openxmlformats.org/officeDocument/2006/relationships/hyperlink" Id="rId23" Target="https://www.mos.ru/depr/function/nalogovaya-politika/vklyuchen-li-vash-obekt-v-utverzhdennyy-perechen-obektov-nedvizhimost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1520495.html" TargetMode="External" /><Relationship Type="http://schemas.openxmlformats.org/officeDocument/2006/relationships/hyperlink" Id="rId23" Target="https://www.mos.ru/depr/function/nalogovaya-politika/vklyuchen-li-vash-obekt-v-utverzhdennyy-perechen-obektov-nedvizhimost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2025-08-06T00:06:44Z</dcterms:created>
  <dcterms:modified xsi:type="dcterms:W3CDTF">2025-08-06T00:06:44Z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